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Fonts w:ascii="Garamond" w:hAnsi="Garamond"/>
          <w:sz w:val="32"/>
          <w:szCs w:val="32"/>
        </w:rPr>
        <w:t>UN SANTUARIO LAICO</w:t>
      </w:r>
    </w:p>
    <w:p>
      <w:pPr>
        <w:pStyle w:val="style0"/>
        <w:jc w:val="center"/>
      </w:pPr>
      <w:r>
        <w:rPr>
          <w:rFonts w:ascii="Garamond" w:hAnsi="Garamond"/>
          <w:sz w:val="32"/>
          <w:szCs w:val="32"/>
        </w:rPr>
      </w:r>
    </w:p>
    <w:p>
      <w:pPr>
        <w:pStyle w:val="style0"/>
        <w:jc w:val="both"/>
      </w:pPr>
      <w:r>
        <w:rPr>
          <w:rFonts w:ascii="Garamond" w:hAnsi="Garamond"/>
          <w:sz w:val="32"/>
          <w:szCs w:val="32"/>
        </w:rPr>
        <w:t xml:space="preserve">       </w:t>
      </w:r>
      <w:r>
        <w:rPr>
          <w:rFonts w:ascii="Garamond" w:hAnsi="Garamond"/>
          <w:sz w:val="32"/>
          <w:szCs w:val="32"/>
        </w:rPr>
        <w:t xml:space="preserve">All’inizio può sembrare uno di quei giochi a concorso saltuariamente proposti dalla ‘Settimana enigmistica’ ai suoi lettori: un segno, un ghirigoro qualsiasi nel bel mezzo di una pagina bianca, i concorrenti devono partire da quel significante incompleto e comporre un disegno, che lo includa, provvisto di significato: in un’inarcatura sghimbescia sospesa nel vuoto c’è chi vedrà l’ansa di un vaso, chi un naso, chi il lobo di un orecchio, chi un amo, chi una babbuccia di odalisca, chi il ciuffo di un monello, e così avanti. </w:t>
      </w:r>
    </w:p>
    <w:p>
      <w:pPr>
        <w:pStyle w:val="style0"/>
        <w:jc w:val="both"/>
      </w:pPr>
      <w:r>
        <w:rPr>
          <w:rFonts w:ascii="Garamond" w:hAnsi="Garamond"/>
          <w:sz w:val="32"/>
          <w:szCs w:val="32"/>
        </w:rPr>
        <w:t xml:space="preserve">       </w:t>
      </w:r>
      <w:r>
        <w:rPr>
          <w:rFonts w:ascii="Garamond" w:hAnsi="Garamond"/>
          <w:sz w:val="32"/>
          <w:szCs w:val="32"/>
        </w:rPr>
        <w:t>Ma il gioco proposto da Enzo Sbarra, tra il 2007 e 2008, ai diciotto ‘concorrenti’, scelti dai più diversi settori dell’attività intellettuale e artistica, ha come punto di partenza un’immagine tutt’altro che sprovvista di significato: si tratta del suggestivo ritratto fotografico della moglie col primo figlio (</w:t>
      </w:r>
      <w:r>
        <w:rPr>
          <w:rFonts w:ascii="Garamond" w:hAnsi="Garamond"/>
          <w:i/>
          <w:sz w:val="32"/>
          <w:szCs w:val="32"/>
        </w:rPr>
        <w:t>Alma mater</w:t>
      </w:r>
      <w:r>
        <w:rPr>
          <w:rFonts w:ascii="Garamond" w:hAnsi="Garamond"/>
          <w:sz w:val="32"/>
          <w:szCs w:val="32"/>
        </w:rPr>
        <w:t>), da lui stesso realizzato qualche anno prima e già sperimentato in prima battuta come solitario ‘incontro a sorpresa’ con la gente in giro per Bologna nei luoghi più impensati della città, secondo modalità spiritosamente denominate ‘Museo inesistente’.</w:t>
      </w:r>
    </w:p>
    <w:p>
      <w:pPr>
        <w:pStyle w:val="style0"/>
        <w:jc w:val="both"/>
      </w:pPr>
      <w:r>
        <w:rPr>
          <w:rFonts w:ascii="Garamond" w:hAnsi="Garamond"/>
          <w:sz w:val="32"/>
          <w:szCs w:val="32"/>
        </w:rPr>
        <w:t xml:space="preserve">       </w:t>
      </w:r>
      <w:r>
        <w:rPr>
          <w:rFonts w:ascii="Garamond" w:hAnsi="Garamond"/>
          <w:sz w:val="32"/>
          <w:szCs w:val="32"/>
        </w:rPr>
        <w:t xml:space="preserve">Tale ritratto, affidato come spunto iniziale peri diciotto prescelti, è già talmente significativo di suo e di suo in tal misura traboccante di interrogativi (sia immediati: cosa pensa, cosa prova la Madre?, dove guarda il Figlio? sia ancestrali: cos’è la Maternità?, quali e quante energie e potenzialità accompagnano la Figlitudine?), che le successive diversissime, originali interpretazioni datene da ciascuno non fanno che moltiplicare significati e interrogativi in un gioco di specchi praticamente infinito e capace di suscitare a sua volta nel fruitore una catena di ulteriori reazioni e sensazioni non meno molteplici e varie. </w:t>
      </w:r>
    </w:p>
    <w:p>
      <w:pPr>
        <w:pStyle w:val="style0"/>
        <w:jc w:val="both"/>
      </w:pPr>
      <w:r>
        <w:rPr>
          <w:rFonts w:ascii="Garamond" w:hAnsi="Garamond"/>
          <w:sz w:val="32"/>
          <w:szCs w:val="32"/>
        </w:rPr>
        <w:t xml:space="preserve">       </w:t>
      </w:r>
      <w:r>
        <w:rPr>
          <w:rFonts w:ascii="Garamond" w:hAnsi="Garamond"/>
          <w:sz w:val="32"/>
          <w:szCs w:val="32"/>
        </w:rPr>
        <w:t xml:space="preserve">E questo anche grazie al metodo felicemente adottato di affiancare all’immagine intitolata ‘Alma mater’ rielaborata, integrata, corretta – in definitiva ricreata - da ciascuno il ritratto di quel singolo autore colto fotograficamente da Sbarra in un atteggiamento volutamente rivelatore del senso, o almeno delle porzioni di senso, le più immediate, da attribuire a quello specifico atto ricreativo (si potrebbe parlare di “lato B” di ciascuna reinvenzione). </w:t>
      </w:r>
    </w:p>
    <w:p>
      <w:pPr>
        <w:pStyle w:val="style0"/>
        <w:jc w:val="both"/>
      </w:pPr>
      <w:r>
        <w:rPr>
          <w:rFonts w:ascii="Garamond" w:hAnsi="Garamond"/>
          <w:sz w:val="32"/>
          <w:szCs w:val="32"/>
        </w:rPr>
        <w:t xml:space="preserve">       </w:t>
      </w:r>
      <w:r>
        <w:rPr>
          <w:rFonts w:ascii="Garamond" w:hAnsi="Garamond"/>
          <w:sz w:val="32"/>
          <w:szCs w:val="32"/>
        </w:rPr>
        <w:t>Il meccanismo attuato finisce immancabilmente per fare dei fruitori un secondo cerchio di ulteriori e non sempre solo improvvisati interpreti, quasi dei ‘terzi’ autori del modello iniziale.</w:t>
      </w:r>
    </w:p>
    <w:p>
      <w:pPr>
        <w:pStyle w:val="style0"/>
        <w:jc w:val="both"/>
      </w:pPr>
      <w:r>
        <w:rPr>
          <w:rFonts w:ascii="Garamond" w:hAnsi="Garamond"/>
          <w:sz w:val="32"/>
          <w:szCs w:val="32"/>
        </w:rPr>
        <w:t xml:space="preserve">       </w:t>
      </w:r>
      <w:r>
        <w:rPr>
          <w:rFonts w:ascii="Garamond" w:hAnsi="Garamond"/>
          <w:sz w:val="32"/>
          <w:szCs w:val="32"/>
        </w:rPr>
        <w:t>Nell’antica Capua (*) sorgeva un importante Santuario dedicato a una Dea della Maternità (in mancanza di testimonianze sicure convenzionalmente assimilata a una di esse, Mater Matuta) nel quale le donne consacravano alla Dea, sia per supplicarne la protezione, sia soprattutto come ex-voto, statue che le raffiguravano con uno o più bambini tra le braccia: la posa di ciascuna era, con minime variazioni, la stessa della Dea, sia per l’atteggiamento protettivo e accogliente nei confronti della più o meno numerosa prole, sia per il trono su cui si facevano rappresentare solennemente assise – quasi che la Dea le avesse precedute in quell’atteggiamento, e che loro stesse, ciascuna e ogni volta, fosse stata fatta Dea dalla Maternità.</w:t>
      </w:r>
    </w:p>
    <w:p>
      <w:pPr>
        <w:pStyle w:val="style0"/>
        <w:jc w:val="both"/>
      </w:pPr>
      <w:r>
        <w:rPr>
          <w:rFonts w:ascii="Garamond" w:hAnsi="Garamond"/>
          <w:sz w:val="32"/>
          <w:szCs w:val="32"/>
        </w:rPr>
        <w:t xml:space="preserve">       </w:t>
      </w:r>
      <w:r>
        <w:rPr>
          <w:rFonts w:ascii="Garamond" w:hAnsi="Garamond"/>
          <w:sz w:val="32"/>
          <w:szCs w:val="32"/>
        </w:rPr>
        <w:t xml:space="preserve">Tra il VI e il I secolo avanti Cristo si andò in tal modo formando, prima dentro, poi anche fuori dal Santuario un vasto bosco di statue, eclatante tributo al mistero della generazione che consentiva il perpetuarsi della comunità. Enzo Sbarra ha come riattivato questo meccanismo di moltiplicazione del divino secondo un ritmo virtualmente interminabile, trasportandone laicamente la realizzazione nel ‘qui e adesso’, e affidando a ciascuno dei diciotto artisti iniziali, poi a ciascun fruitore il compito di continuarlo. Il bosco di statue si allarga. </w:t>
      </w:r>
    </w:p>
    <w:p>
      <w:pPr>
        <w:pStyle w:val="style0"/>
        <w:jc w:val="both"/>
      </w:pPr>
      <w:r>
        <w:rPr>
          <w:rFonts w:ascii="Garamond" w:hAnsi="Garamond"/>
          <w:sz w:val="32"/>
          <w:szCs w:val="32"/>
        </w:rPr>
        <w:t xml:space="preserve">                          </w:t>
      </w:r>
    </w:p>
    <w:p>
      <w:pPr>
        <w:pStyle w:val="style0"/>
        <w:jc w:val="both"/>
      </w:pPr>
      <w:r>
        <w:rPr>
          <w:rFonts w:ascii="Garamond" w:hAnsi="Garamond"/>
          <w:sz w:val="32"/>
          <w:szCs w:val="32"/>
        </w:rPr>
        <w:t xml:space="preserve">                                           </w:t>
      </w:r>
      <w:r>
        <w:rPr>
          <w:rFonts w:ascii="Garamond" w:hAnsi="Garamond"/>
          <w:sz w:val="32"/>
          <w:szCs w:val="32"/>
        </w:rPr>
        <w:t>Gioachino Chiarini</w:t>
      </w:r>
    </w:p>
    <w:p>
      <w:pPr>
        <w:pStyle w:val="style0"/>
        <w:jc w:val="both"/>
      </w:pPr>
      <w:r>
        <w:rPr>
          <w:rFonts w:ascii="Garamond" w:hAnsi="Garamond"/>
          <w:sz w:val="32"/>
          <w:szCs w:val="32"/>
        </w:rPr>
      </w:r>
    </w:p>
    <w:p>
      <w:pPr>
        <w:pStyle w:val="style0"/>
        <w:jc w:val="both"/>
      </w:pPr>
      <w:r>
        <w:rPr>
          <w:rFonts w:ascii="Garamond" w:hAnsi="Garamond"/>
          <w:sz w:val="32"/>
          <w:szCs w:val="32"/>
        </w:rPr>
        <w:t xml:space="preserve">(*) </w:t>
      </w:r>
      <w:r>
        <w:rPr>
          <w:rFonts w:ascii="Garamond" w:hAnsi="Garamond"/>
          <w:sz w:val="24"/>
          <w:szCs w:val="24"/>
        </w:rPr>
        <w:t xml:space="preserve">Traggo lo spunto che segue dal Catalogo della Mostra </w:t>
      </w:r>
      <w:r>
        <w:rPr>
          <w:rFonts w:ascii="Garamond" w:hAnsi="Garamond"/>
          <w:i/>
          <w:sz w:val="24"/>
          <w:szCs w:val="24"/>
        </w:rPr>
        <w:t>MATER. Percorsi simbolici della maternità</w:t>
      </w:r>
      <w:r>
        <w:rPr>
          <w:rFonts w:ascii="Garamond" w:hAnsi="Garamond"/>
          <w:sz w:val="24"/>
          <w:szCs w:val="24"/>
        </w:rPr>
        <w:t>, Parma, Palazzo del Governatore, 8 marzo-28 giugno 2015, “L’Erma” di Bretschneider 2015</w:t>
      </w:r>
    </w:p>
    <w:sectPr>
      <w:footerReference r:id="rId2" w:type="default"/>
      <w:type w:val="nextPage"/>
      <w:pgSz w:h="16838" w:w="11906"/>
      <w:pgMar w:bottom="1134" w:footer="708" w:gutter="0" w:header="0" w:left="1134" w:right="1134" w:top="1417"/>
      <w:pgNumType w:fmt="decimal"/>
      <w:formProt w:val="false"/>
      <w:textDirection w:val="lrTb"/>
      <w:docGrid w:charSpace="4096"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6"/>
      <w:jc w:val="right"/>
    </w:pPr>
    <w:r>
      <w:rPr/>
      <w:fldChar w:fldCharType="begin"/>
    </w:r>
    <w:r>
      <w:instrText> PAGE </w:instrText>
    </w:r>
    <w:r>
      <w:fldChar w:fldCharType="separate"/>
    </w:r>
    <w:r/>
    <w:r>
      <w:fldChar w:fldCharType="end"/>
    </w:r>
  </w:p>
  <w:p>
    <w:pPr>
      <w:pStyle w:val="style26"/>
    </w:pPr>
    <w:r>
      <w:rPr/>
    </w:r>
  </w:p>
</w:ftr>
</file>

<file path=word/styles.xml><?xml version="1.0" encoding="utf-8"?>
<w:styles xmlns:w="http://schemas.openxmlformats.org/wordprocessingml/2006/main">
  <w:style w:styleId="style0" w:type="paragraph">
    <w:name w:val="Predefinito"/>
    <w:next w:val="style0"/>
    <w:pPr>
      <w:widowControl/>
      <w:tabs>
        <w:tab w:leader="none" w:pos="708" w:val="left"/>
      </w:tabs>
      <w:suppressAutoHyphens w:val="true"/>
      <w:spacing w:after="200" w:before="0" w:line="276" w:lineRule="auto"/>
    </w:pPr>
    <w:rPr>
      <w:rFonts w:ascii="Calibri" w:cs="" w:eastAsia="Lucida Sans Unicode" w:hAnsi="Calibri"/>
      <w:color w:val="auto"/>
      <w:sz w:val="22"/>
      <w:szCs w:val="22"/>
      <w:lang w:bidi="ar-SA" w:eastAsia="it-IT" w:val="it-IT"/>
    </w:rPr>
  </w:style>
  <w:style w:styleId="style15" w:type="character">
    <w:name w:val="Default Paragraph Font"/>
    <w:next w:val="style15"/>
    <w:rPr/>
  </w:style>
  <w:style w:styleId="style16" w:type="character">
    <w:name w:val="Intestazione Carattere"/>
    <w:basedOn w:val="style15"/>
    <w:next w:val="style16"/>
    <w:rPr/>
  </w:style>
  <w:style w:styleId="style17" w:type="character">
    <w:name w:val="Piè di pagina Carattere"/>
    <w:basedOn w:val="style15"/>
    <w:next w:val="style17"/>
    <w:rPr/>
  </w:style>
  <w:style w:styleId="style18" w:type="character">
    <w:name w:val="ListLabel 1"/>
    <w:next w:val="style18"/>
    <w:rPr>
      <w:rFonts w:cs=""/>
    </w:rPr>
  </w:style>
  <w:style w:styleId="style19" w:type="character">
    <w:name w:val="ListLabel 2"/>
    <w:next w:val="style19"/>
    <w:rPr>
      <w:rFonts w:cs="Courier New"/>
    </w:rPr>
  </w:style>
  <w:style w:styleId="style20" w:type="paragraph">
    <w:name w:val="Intestazione"/>
    <w:basedOn w:val="style0"/>
    <w:next w:val="style21"/>
    <w:pPr>
      <w:keepNext/>
      <w:spacing w:after="120" w:before="240"/>
    </w:pPr>
    <w:rPr>
      <w:rFonts w:ascii="Arial" w:cs="Mangal" w:eastAsia="Lucida Sans Unicode" w:hAnsi="Arial"/>
      <w:sz w:val="28"/>
      <w:szCs w:val="28"/>
    </w:rPr>
  </w:style>
  <w:style w:styleId="style21" w:type="paragraph">
    <w:name w:val="Corpo testo"/>
    <w:basedOn w:val="style0"/>
    <w:next w:val="style21"/>
    <w:pPr>
      <w:spacing w:after="120" w:before="0"/>
    </w:pPr>
    <w:rPr/>
  </w:style>
  <w:style w:styleId="style22" w:type="paragraph">
    <w:name w:val="Elenco"/>
    <w:basedOn w:val="style21"/>
    <w:next w:val="style22"/>
    <w:pPr/>
    <w:rPr>
      <w:rFonts w:cs="Mangal"/>
    </w:rPr>
  </w:style>
  <w:style w:styleId="style23" w:type="paragraph">
    <w:name w:val="Didascalia"/>
    <w:basedOn w:val="style0"/>
    <w:next w:val="style23"/>
    <w:pPr>
      <w:suppressLineNumbers/>
      <w:spacing w:after="120" w:before="120"/>
    </w:pPr>
    <w:rPr>
      <w:rFonts w:cs="Mangal"/>
      <w:i/>
      <w:iCs/>
      <w:sz w:val="24"/>
      <w:szCs w:val="24"/>
    </w:rPr>
  </w:style>
  <w:style w:styleId="style24" w:type="paragraph">
    <w:name w:val="Indice"/>
    <w:basedOn w:val="style0"/>
    <w:next w:val="style24"/>
    <w:pPr>
      <w:suppressLineNumbers/>
    </w:pPr>
    <w:rPr>
      <w:rFonts w:cs="Mangal"/>
    </w:rPr>
  </w:style>
  <w:style w:styleId="style25" w:type="paragraph">
    <w:name w:val="Riga d'intestazione"/>
    <w:basedOn w:val="style0"/>
    <w:next w:val="style25"/>
    <w:pPr>
      <w:suppressLineNumbers/>
      <w:tabs>
        <w:tab w:leader="none" w:pos="4819" w:val="center"/>
        <w:tab w:leader="none" w:pos="9638" w:val="right"/>
      </w:tabs>
      <w:spacing w:after="0" w:before="0" w:line="100" w:lineRule="atLeast"/>
    </w:pPr>
    <w:rPr/>
  </w:style>
  <w:style w:styleId="style26" w:type="paragraph">
    <w:name w:val="Piè di pagina"/>
    <w:basedOn w:val="style0"/>
    <w:next w:val="style26"/>
    <w:pPr>
      <w:suppressLineNumbers/>
      <w:tabs>
        <w:tab w:leader="none" w:pos="4819" w:val="center"/>
        <w:tab w:leader="none" w:pos="9638" w:val="right"/>
      </w:tabs>
      <w:spacing w:after="0" w:before="0" w:line="100" w:lineRule="atLeast"/>
    </w:pPr>
    <w:rPr/>
  </w:style>
  <w:style w:styleId="style27" w:type="paragraph">
    <w:name w:val="List Paragraph"/>
    <w:basedOn w:val="style0"/>
    <w:next w:val="style27"/>
    <w:pPr>
      <w:ind w:hanging="0" w:left="720" w:right="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160</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2015-04-16T12:21:00.00Z</dcterms:created>
  <dc:creator>unieuro</dc:creator>
  <cp:lastModifiedBy>unieuro</cp:lastModifiedBy>
  <dcterms:modified xsi:type="dcterms:W3CDTF">2015-04-18T14:18:00.00Z</dcterms:modified>
  <cp:revision>7</cp:revision>
</cp:coreProperties>
</file>